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9749" w14:textId="1759A16E" w:rsidR="00E161A1" w:rsidRPr="001945F6" w:rsidRDefault="007A6578" w:rsidP="000D716C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Protokół rozbieżności stanowisk </w:t>
      </w:r>
      <w:r w:rsidR="00204422" w:rsidRPr="001945F6">
        <w:rPr>
          <w:rFonts w:ascii="Times New Roman" w:hAnsi="Times New Roman" w:cs="Times New Roman"/>
          <w:b/>
          <w:bCs/>
          <w:sz w:val="22"/>
          <w:szCs w:val="22"/>
        </w:rPr>
        <w:t xml:space="preserve">z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etapu </w:t>
      </w:r>
      <w:r w:rsidR="00204422" w:rsidRPr="001945F6">
        <w:rPr>
          <w:rFonts w:ascii="Times New Roman" w:hAnsi="Times New Roman" w:cs="Times New Roman"/>
          <w:b/>
          <w:bCs/>
          <w:sz w:val="22"/>
          <w:szCs w:val="22"/>
        </w:rPr>
        <w:t xml:space="preserve">uzgodnień </w:t>
      </w:r>
      <w:r w:rsidR="00DC75B4" w:rsidRPr="00DC75B4">
        <w:rPr>
          <w:rFonts w:ascii="Times New Roman" w:hAnsi="Times New Roman" w:cs="Times New Roman"/>
          <w:b/>
          <w:bCs/>
          <w:sz w:val="22"/>
          <w:szCs w:val="22"/>
        </w:rPr>
        <w:t>projektu rozporządzenia Ministra Sprawiedliwości zmieniającego rozporządzenie w sprawie szczegółowego sposobu prowadzenia rejestrów wchodzących w skład Krajowego Rejestru Sądowego oraz szczegółowej treści wpisów w tych rejestrach (B844)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70"/>
        <w:gridCol w:w="1410"/>
        <w:gridCol w:w="1276"/>
        <w:gridCol w:w="2551"/>
        <w:gridCol w:w="8222"/>
      </w:tblGrid>
      <w:tr w:rsidR="001945F6" w:rsidRPr="001945F6" w14:paraId="45CF3C7E" w14:textId="77777777" w:rsidTr="00105601">
        <w:tc>
          <w:tcPr>
            <w:tcW w:w="570" w:type="dxa"/>
          </w:tcPr>
          <w:p w14:paraId="4C51667E" w14:textId="641F07B5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410" w:type="dxa"/>
          </w:tcPr>
          <w:p w14:paraId="69D5DC6B" w14:textId="4782C070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Przepis</w:t>
            </w:r>
          </w:p>
        </w:tc>
        <w:tc>
          <w:tcPr>
            <w:tcW w:w="1276" w:type="dxa"/>
          </w:tcPr>
          <w:p w14:paraId="4C75DD3F" w14:textId="199AE6A9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Podmiot</w:t>
            </w:r>
          </w:p>
        </w:tc>
        <w:tc>
          <w:tcPr>
            <w:tcW w:w="2551" w:type="dxa"/>
          </w:tcPr>
          <w:p w14:paraId="60B594B3" w14:textId="022B4D70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Treść uwagi</w:t>
            </w:r>
          </w:p>
        </w:tc>
        <w:tc>
          <w:tcPr>
            <w:tcW w:w="8222" w:type="dxa"/>
          </w:tcPr>
          <w:p w14:paraId="31167690" w14:textId="1306702B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Stanowisko Ministerstwa Sprawiedliwości</w:t>
            </w:r>
          </w:p>
        </w:tc>
      </w:tr>
      <w:tr w:rsidR="001945F6" w:rsidRPr="001945F6" w14:paraId="134347C7" w14:textId="77777777" w:rsidTr="00105601">
        <w:tc>
          <w:tcPr>
            <w:tcW w:w="570" w:type="dxa"/>
          </w:tcPr>
          <w:p w14:paraId="3A5080DF" w14:textId="0CC8E520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10" w:type="dxa"/>
          </w:tcPr>
          <w:p w14:paraId="3D6CAF59" w14:textId="6A043E5D" w:rsidR="00541C09" w:rsidRPr="00105601" w:rsidRDefault="00DC75B4" w:rsidP="008E0838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 xml:space="preserve">§ 23 </w:t>
            </w:r>
            <w:proofErr w:type="spellStart"/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>pkt</w:t>
            </w:r>
            <w:proofErr w:type="spellEnd"/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 xml:space="preserve"> 3 lit. d, § 45 </w:t>
            </w:r>
            <w:proofErr w:type="spellStart"/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>pkt</w:t>
            </w:r>
            <w:proofErr w:type="spellEnd"/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 xml:space="preserve"> 3 lit. d, § 54 </w:t>
            </w:r>
            <w:proofErr w:type="spellStart"/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>pkt</w:t>
            </w:r>
            <w:proofErr w:type="spellEnd"/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 xml:space="preserve"> 3 lit. d, § 66 </w:t>
            </w:r>
            <w:proofErr w:type="spellStart"/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>pkt</w:t>
            </w:r>
            <w:proofErr w:type="spellEnd"/>
            <w:r w:rsidRPr="00105601">
              <w:rPr>
                <w:rFonts w:ascii="TimesNewRomanPSMT" w:hAnsi="TimesNewRomanPSMT" w:cs="TimesNewRomanPSMT"/>
                <w:kern w:val="0"/>
                <w:lang w:val="en-GB"/>
              </w:rPr>
              <w:t xml:space="preserve"> 3 lit. d</w:t>
            </w:r>
          </w:p>
        </w:tc>
        <w:tc>
          <w:tcPr>
            <w:tcW w:w="1276" w:type="dxa"/>
          </w:tcPr>
          <w:p w14:paraId="0D8FB5FD" w14:textId="7CA0E87B" w:rsidR="00702982" w:rsidRPr="001945F6" w:rsidRDefault="0052494B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sz w:val="22"/>
                <w:szCs w:val="22"/>
              </w:rPr>
              <w:t>Rządowe Centrum Legislacji</w:t>
            </w:r>
          </w:p>
        </w:tc>
        <w:tc>
          <w:tcPr>
            <w:tcW w:w="2551" w:type="dxa"/>
          </w:tcPr>
          <w:p w14:paraId="1260A10F" w14:textId="4E5C9C66" w:rsidR="00DC75B4" w:rsidRDefault="00DC75B4" w:rsidP="00DC75B4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 xml:space="preserve">Projektowane: § 23 pkt 3 lit. d, § 45 pkt 3 lit. d, § 54 pkt 3 lit. d, § 66 pkt 3 lit. d, nie obejmują sytuacji, gdy sprawozdanie z działalności spółki dominującej zostanie sporządzone w formie odrębnego dokumentu. Zgodnie bowiem z art. 55 ust. 2a </w:t>
            </w:r>
            <w:r>
              <w:rPr>
                <w:rFonts w:ascii="TimesNewRomanPS-ItalicMT" w:hAnsi="TimesNewRomanPS-ItalicMT" w:cs="TimesNewRomanPS-ItalicMT"/>
                <w:i/>
                <w:iCs/>
                <w:kern w:val="0"/>
              </w:rPr>
              <w:t>in fine</w:t>
            </w:r>
          </w:p>
          <w:p w14:paraId="5D45576B" w14:textId="274CA7F1" w:rsidR="00702982" w:rsidRPr="001945F6" w:rsidRDefault="00DC75B4" w:rsidP="00DC7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kern w:val="0"/>
              </w:rPr>
              <w:t xml:space="preserve">ustawy z dnia 29 września 1994 r. </w:t>
            </w:r>
            <w:r>
              <w:rPr>
                <w:rFonts w:ascii="TimesNewRomanPS-ItalicMT" w:hAnsi="TimesNewRomanPS-ItalicMT" w:cs="TimesNewRomanPS-ItalicMT"/>
                <w:i/>
                <w:iCs/>
                <w:kern w:val="0"/>
              </w:rPr>
              <w:t xml:space="preserve">o rachunkowości </w:t>
            </w:r>
            <w:r>
              <w:rPr>
                <w:rFonts w:ascii="TimesNewRomanPSMT" w:hAnsi="TimesNewRomanPSMT" w:cs="TimesNewRomanPSMT"/>
                <w:kern w:val="0"/>
              </w:rPr>
              <w:t xml:space="preserve">sprawozdanie z działalności grupy kapitałowej można sporządzić łącznie ze sprawozdaniem z działalności jednostki dominującej jako jedno sprawozdanie. RCL proponuje następujące brzmienie projektowanego przepisu: „d) w polu czwartym - wzmiankę o </w:t>
            </w:r>
            <w:r>
              <w:rPr>
                <w:rFonts w:ascii="TimesNewRomanPSMT" w:hAnsi="TimesNewRomanPSMT" w:cs="TimesNewRomanPSMT"/>
                <w:kern w:val="0"/>
              </w:rPr>
              <w:lastRenderedPageBreak/>
              <w:t>złożeniu sprawozdania z działalności spółki dominującej albo wzmiankę o złożeniu sprawozdania z działalności grupy kapitałowej sporządzonego łącznie ze sprawozdaniem z działalności spółki dominującej, co obejmuje okres, za jaki złożono sprawozdanie,”.</w:t>
            </w:r>
          </w:p>
        </w:tc>
        <w:tc>
          <w:tcPr>
            <w:tcW w:w="8222" w:type="dxa"/>
          </w:tcPr>
          <w:p w14:paraId="02C39778" w14:textId="3EAD649F" w:rsidR="008059E9" w:rsidRPr="007A6578" w:rsidRDefault="008059E9" w:rsidP="00283C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kern w:val="0"/>
              </w:rPr>
            </w:pPr>
            <w:r w:rsidRPr="007A6578">
              <w:rPr>
                <w:rFonts w:ascii="TimesNewRomanPSMT" w:hAnsi="TimesNewRomanPSMT" w:cs="TimesNewRomanPSMT"/>
                <w:b/>
                <w:bCs/>
                <w:kern w:val="0"/>
              </w:rPr>
              <w:lastRenderedPageBreak/>
              <w:t xml:space="preserve">Uwaga </w:t>
            </w:r>
            <w:r w:rsidR="00DC75B4" w:rsidRPr="007A6578">
              <w:rPr>
                <w:rFonts w:ascii="TimesNewRomanPSMT" w:hAnsi="TimesNewRomanPSMT" w:cs="TimesNewRomanPSMT"/>
                <w:b/>
                <w:bCs/>
                <w:kern w:val="0"/>
              </w:rPr>
              <w:t>nie</w:t>
            </w:r>
            <w:r w:rsidRPr="007A6578">
              <w:rPr>
                <w:rFonts w:ascii="TimesNewRomanPSMT" w:hAnsi="TimesNewRomanPSMT" w:cs="TimesNewRomanPSMT"/>
                <w:b/>
                <w:bCs/>
                <w:kern w:val="0"/>
              </w:rPr>
              <w:t xml:space="preserve">uwzględniona </w:t>
            </w:r>
          </w:p>
          <w:p w14:paraId="0D9801D3" w14:textId="67982485" w:rsidR="00283C64" w:rsidRPr="00283C64" w:rsidRDefault="00283C64" w:rsidP="00283C64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W odniesieniu do uwagi w zakresie nadania projektowanym przepisom § 23 pkt 3 lit. d, § 45 pkt 3 lit. d, § 54 pkt 3 lit. d, § 66 pkt 3 lit. d brzmienia: „d) w polu czwartym - wzmiankę o złożeniu sprawozdania z działalności spółki dominującej albo wzmiankę o złożeniu sprawozdania z działalności grupy kapitałowej sporządzonego łącznie ze sprawozdaniem z działalności spółki dominującej, co obejmuje okres, za jaki złożono sprawozdanie” – uprzejmie informuję, że nie jest ona zasadna. Zredagowanie przepisu lit. d zgodnie z postulatem Rządowego Centrum Legislacji obejmuje bowiem dwa różne przypadki, tj.: </w:t>
            </w:r>
          </w:p>
          <w:p w14:paraId="1B8AB81F" w14:textId="77777777" w:rsidR="00283C64" w:rsidRPr="00283C64" w:rsidRDefault="00283C64" w:rsidP="00283C6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 w:line="276" w:lineRule="auto"/>
              <w:ind w:left="388" w:hanging="294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złożenie samego sprawozdania z działalności spółki dominującej,</w:t>
            </w:r>
          </w:p>
          <w:p w14:paraId="33C64724" w14:textId="77777777" w:rsidR="00283C64" w:rsidRPr="00283C64" w:rsidRDefault="00283C64" w:rsidP="00283C6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388" w:hanging="295"/>
              <w:contextualSpacing w:val="0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złożenie sprawozdania z działalności grupy kapitałowej sporządzonego łącznie ze sprawozdaniem z działalności spółki dominującej.</w:t>
            </w:r>
          </w:p>
          <w:p w14:paraId="110883EC" w14:textId="78F6F124" w:rsidR="00283C64" w:rsidRPr="00283C64" w:rsidRDefault="00283C64" w:rsidP="00283C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Realizacja tej propozycji prowadziłaby do zamieszczania jednej wzmianki dla dwóch różnych przypadków złożenia sprawozdania, podczas gdy projekt przewiduje dla tych przypadków różne wzmianki.</w:t>
            </w:r>
            <w:r>
              <w:rPr>
                <w:rFonts w:ascii="TimesNewRomanPSMT" w:hAnsi="TimesNewRomanPSMT" w:cs="TimesNewRomanPSMT"/>
                <w:kern w:val="0"/>
              </w:rPr>
              <w:t xml:space="preserve"> </w:t>
            </w:r>
            <w:r w:rsidRPr="00283C64">
              <w:rPr>
                <w:rFonts w:ascii="TimesNewRomanPSMT" w:hAnsi="TimesNewRomanPSMT" w:cs="TimesNewRomanPSMT"/>
                <w:kern w:val="0"/>
              </w:rPr>
              <w:t xml:space="preserve">Zgodnie z art. 55 ust. 2a ustawy z dnia 29 września 1994 r. o rachunkowości do rocznego skonsolidowanego sprawozdania finansowego dołącza się sprawozdanie z działalności grupy kapitałowej, przy czym sprawozdanie to można sporządzić łącznie ze sprawozdaniem z działalności jednostki dominującej jako jedno sprawozdanie. Właśnie dla tego przypadku przewidziano w projekcie samodzielną wzmiankę o złożeniu sprawozdania z działalności grupy kapitałowej łącznie ze sprawozdaniem z działalności spółki dominującej, co obejmuje okres, za jaki złożono sprawozdanie (proj. § 1 pkt 1 lit. b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tiret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pierwsze, pkt 2 lit. b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tiret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pierwsze, pkt 3 lit. b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tiret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pierwsze, pkt 4 lit. b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tiret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pierwsze). W przypadku złożenia samego sprawozdania z działalności spółki dominującej przewidziane jest dokonywanie </w:t>
            </w:r>
            <w:r w:rsidRPr="00283C64">
              <w:rPr>
                <w:rFonts w:ascii="TimesNewRomanPSMT" w:hAnsi="TimesNewRomanPSMT" w:cs="TimesNewRomanPSMT"/>
                <w:kern w:val="0"/>
              </w:rPr>
              <w:lastRenderedPageBreak/>
              <w:t xml:space="preserve">wpisu innej wzmianki, tj. wzmianki, o której mowa w proj. § 23 pkt 2 lit. d, § 45 pkt 2 lit. d, § 54 pkt 2 lit. d oraz z § 66 pkt 2 lit. d. Natomiast w przypadku złożenia sprawozdania z działalności grupy kapitałowej niepołączonego ze sprawozdaniem z działalności spółki dominującej przewiduje się zamieszczanie wzmianek, o których mowa w proj. § 23 pkt 3 lit. f, § 45 pkt 3 lit. f, § 54 pkt 3 lit. f oraz w § 66 pkt 3 lit. f. Dokumenty dot. grupy kapitałowej składane są przez spółkę dominującą (vide: art. 69 ust. 3 ustawy o rachunkowości). Jednolita struktura działu 3 rejestru przedsiębiorców przewiduje wpisywanie wzmianek o złożeniu dokumentów dotyczących spółki (w tym również spółki dominującej) w rubryce 2 tego działu, a dokumentów dotyczących grupy kapitałowej, w której spółka ma pozycję dominującą, w rubryce 3 tego działu. </w:t>
            </w:r>
          </w:p>
          <w:p w14:paraId="04880502" w14:textId="7653B654" w:rsidR="00283C64" w:rsidRPr="00283C64" w:rsidRDefault="00283C64" w:rsidP="00283C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Sprawozdanie z działalności spółki dominującej niesporządzone łącznie ze sprawozdaniem z działalności grupy kapitałowej jest tożsamym dokumentem ze sprawozdaniem z działalności spółki, o którym mowa w art. 49 ustawy </w:t>
            </w:r>
            <w:r>
              <w:rPr>
                <w:rFonts w:ascii="TimesNewRomanPSMT" w:hAnsi="TimesNewRomanPSMT" w:cs="TimesNewRomanPSMT"/>
                <w:kern w:val="0"/>
              </w:rPr>
              <w:t xml:space="preserve">o </w:t>
            </w:r>
            <w:r w:rsidRPr="00283C64">
              <w:rPr>
                <w:rFonts w:ascii="TimesNewRomanPSMT" w:hAnsi="TimesNewRomanPSMT" w:cs="TimesNewRomanPSMT"/>
                <w:kern w:val="0"/>
              </w:rPr>
              <w:t>rachunkowości oraz w art. 40 pkt 5 ustawy o Krajowym Rejestrze Sądowym. Wzmiankę o złożeniu tego sprawozdania zamieszcza się w dziale 3 w rubryce 2 w polu 4 KRS.</w:t>
            </w:r>
            <w:r>
              <w:rPr>
                <w:rFonts w:ascii="TimesNewRomanPSMT" w:hAnsi="TimesNewRomanPSMT" w:cs="TimesNewRomanPSMT"/>
                <w:kern w:val="0"/>
              </w:rPr>
              <w:t xml:space="preserve"> </w:t>
            </w:r>
            <w:r w:rsidRPr="00283C64">
              <w:rPr>
                <w:rFonts w:ascii="TimesNewRomanPSMT" w:hAnsi="TimesNewRomanPSMT" w:cs="TimesNewRomanPSMT"/>
                <w:kern w:val="0"/>
              </w:rPr>
              <w:t>Reasumując, przewiduje się ujawnianie w dziale 3 KRS wzmianek o złożeniu:</w:t>
            </w:r>
          </w:p>
          <w:p w14:paraId="7134C8E2" w14:textId="77777777" w:rsidR="00283C64" w:rsidRPr="00283C64" w:rsidRDefault="00283C64" w:rsidP="00283C6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246" w:hanging="284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sprawozdania z działalności spółki dominującej w rubryce 2 w polu 4 (wzmianka o złożeniu sprawozdania z działalności spółki),</w:t>
            </w:r>
          </w:p>
          <w:p w14:paraId="110B77EC" w14:textId="77777777" w:rsidR="00283C64" w:rsidRPr="00283C64" w:rsidRDefault="00283C64" w:rsidP="00283C6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246" w:hanging="284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sprawozdania z działalności spółki grupy kapitałowej sporządzonego łącznie ze sprawozdaniem z działalności spółki dominującej w rubryce 3 w polu 4,</w:t>
            </w:r>
          </w:p>
          <w:p w14:paraId="483779AA" w14:textId="421DA9F6" w:rsidR="00702982" w:rsidRPr="00283C64" w:rsidRDefault="00283C64" w:rsidP="00283C6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246" w:hanging="284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sprawozdania z działalności grupy kapitałowej w rubryce 3 w polu 6. </w:t>
            </w:r>
          </w:p>
        </w:tc>
      </w:tr>
      <w:tr w:rsidR="006506A9" w:rsidRPr="006506A9" w14:paraId="11FA2D7E" w14:textId="77777777" w:rsidTr="00105601">
        <w:tc>
          <w:tcPr>
            <w:tcW w:w="570" w:type="dxa"/>
          </w:tcPr>
          <w:p w14:paraId="172548AE" w14:textId="6CEBCCB6" w:rsidR="00702982" w:rsidRPr="006506A9" w:rsidRDefault="00D4566A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06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10" w:type="dxa"/>
          </w:tcPr>
          <w:p w14:paraId="0C61F535" w14:textId="4B805095" w:rsidR="003F16AE" w:rsidRPr="006506A9" w:rsidRDefault="003F16AE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08BC5C" w14:textId="4623ACE2" w:rsidR="00702982" w:rsidRPr="006506A9" w:rsidRDefault="00BA463E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06A9">
              <w:rPr>
                <w:rFonts w:ascii="Times New Roman" w:hAnsi="Times New Roman" w:cs="Times New Roman"/>
                <w:sz w:val="22"/>
                <w:szCs w:val="22"/>
              </w:rPr>
              <w:t>Rządowe Centrum Legislacji</w:t>
            </w:r>
          </w:p>
        </w:tc>
        <w:tc>
          <w:tcPr>
            <w:tcW w:w="2551" w:type="dxa"/>
          </w:tcPr>
          <w:p w14:paraId="33CA48AE" w14:textId="5673E8F1" w:rsidR="00504A5D" w:rsidRDefault="00504A5D" w:rsidP="00504A5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 xml:space="preserve">Wątpliwość budzi nieuwzględnienie w przepisie o wejściu w życie rozporządzenia w zakresie wejścia w życie z dniem następującym po dniu </w:t>
            </w:r>
            <w:r>
              <w:rPr>
                <w:rFonts w:ascii="TimesNewRomanPSMT" w:hAnsi="TimesNewRomanPSMT" w:cs="TimesNewRomanPSMT"/>
                <w:kern w:val="0"/>
              </w:rPr>
              <w:lastRenderedPageBreak/>
              <w:t xml:space="preserve">ogłoszenia projektowanych </w:t>
            </w:r>
          </w:p>
          <w:p w14:paraId="5B2EE18C" w14:textId="2BA858EC" w:rsidR="00702982" w:rsidRPr="006506A9" w:rsidRDefault="00504A5D" w:rsidP="00504A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kern w:val="0"/>
              </w:rPr>
              <w:t>przepisów § 1 pkt 1 lit. b, pkt 2 lit. b, pkt. 3 lit. b oraz pkt 4 lit. b, bowiem przepisy te służą wykonaniu art. 40 pkt 5 ustawy z dnia 20 sierpnia 1997 r. o Krajowym Rejestrze Sądowym w brzmieniu nadanym od dnia 1 kwietnia 2025 r. ustawą z dnia 6 grudnia 2024 r. o zmianie ustawy o rachunkowości, ustawy o biegłych rewidentach, firmach audytorskich oraz nadzorze publicznym oraz niektórych innych ustaw.</w:t>
            </w:r>
          </w:p>
        </w:tc>
        <w:tc>
          <w:tcPr>
            <w:tcW w:w="8222" w:type="dxa"/>
          </w:tcPr>
          <w:p w14:paraId="784532F2" w14:textId="77777777" w:rsidR="00702982" w:rsidRPr="00E40C9E" w:rsidRDefault="00283C64" w:rsidP="00283C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kern w:val="0"/>
              </w:rPr>
            </w:pPr>
            <w:r w:rsidRPr="00E40C9E">
              <w:rPr>
                <w:rFonts w:ascii="TimesNewRomanPSMT" w:hAnsi="TimesNewRomanPSMT" w:cs="TimesNewRomanPSMT"/>
                <w:b/>
                <w:bCs/>
                <w:kern w:val="0"/>
              </w:rPr>
              <w:lastRenderedPageBreak/>
              <w:t>Uwaga nieuwzględniona</w:t>
            </w:r>
          </w:p>
          <w:p w14:paraId="308FA6AE" w14:textId="4CDA2111" w:rsidR="00283C64" w:rsidRPr="00283C64" w:rsidRDefault="00283C64" w:rsidP="00E40C9E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60" w:line="276" w:lineRule="auto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W odniesieniu do nieuwzględnienia w przepisie końcowym proponowanego przez RCL terminu wejścia w życie niektórych przepisów rozporządzenia, tj. § 1 pkt 1 lit. b, pkt 2 lit. b, pkt. 3 lit. b oraz pkt 4 lit. b (dzień następujący po dniu ogłoszenia), uprzejmie informuję, modyfikacja systemów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eKRS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w zakresie zmian dotyczących wzmianek na temat sprawozdania z działalności grupy kapitałowej została zlecona przez Ministerstwo Sprawiedliwości w drugim etapie prac, tj. z </w:t>
            </w:r>
            <w:r w:rsidRPr="00283C64">
              <w:rPr>
                <w:rFonts w:ascii="TimesNewRomanPSMT" w:hAnsi="TimesNewRomanPSMT" w:cs="TimesNewRomanPSMT"/>
                <w:kern w:val="0"/>
              </w:rPr>
              <w:lastRenderedPageBreak/>
              <w:t>przewidywanym terminem wdrożenia na dzień 22 czerwca 2025 r. Kwestia określenia dat wprowadzenia poszczególnych rozwiązań legislacyjnych, oprócz terminów wynikających z przepisów ustawy, jest immanentnie związana z wcześniej uzgodnionym i zatwierdzonym z wykonawcą (modernizującym systemy teleinformatyczne obsługujące Krajowy Rejestr Sądowy), terminarzem planowanych i wykonywanych poszczególnych prac projektowo-wdrożeniowych. Obecnie istnieje rozbieżność pomiędzy przepisami rozporządzenia Ministra Sprawiedliwości z dnia 17 listopada 2014 r. w sprawie szczegółowego sposobu prowadzenia rejestrów wchodzących w skład Krajowego Rejestru Sądowego oraz szczegółowej treści wpisów w tych rejestrach, które zakładają wpis w dziale III rejestru przedsiębiorców „wzmianki o złożeniu sprawozdania spółki dominującej”, podczas gdy w repozytorium dokumentów finansowych (RDF) jest już dostępna funkcjonalność gromadzenia dokumentów etykietowanych jako „sprawozdanie z działalności z działalności jednostki dominującej oraz sprawozdanie z działalności grupy kapitałowej”. Zatem obecnie przedsiębiorcy mogą złożyć do RDF sprawozdanie z działalności grupy kapitałowej, lecz treść wzmianki w tym zakresie jest niepełna. Na skutek wykonanych analiz, podjęto próbę wyjaśnienia rozbieżności, co doprowadziło do zmiany przepisów rozporządzenia oraz ustawy o Krajowym Rejestrze Sądowym w zakresie art. 40 pkt 5. Z technicznego punktu widzenia powyższa zmiana ma charakter jedynie korygujący, a wobec pilnej konieczności rozdzielenia prac technicznych, została zlecona na drugi etap modyfikacji.</w:t>
            </w:r>
          </w:p>
        </w:tc>
      </w:tr>
    </w:tbl>
    <w:p w14:paraId="052A378E" w14:textId="77777777" w:rsidR="00702982" w:rsidRPr="00AC66F6" w:rsidRDefault="00702982" w:rsidP="000D716C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702982" w:rsidRPr="00AC66F6" w:rsidSect="001056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FA87E" w14:textId="77777777" w:rsidR="0028254E" w:rsidRDefault="0028254E" w:rsidP="00710F53">
      <w:pPr>
        <w:spacing w:after="0" w:line="240" w:lineRule="auto"/>
      </w:pPr>
      <w:r>
        <w:separator/>
      </w:r>
    </w:p>
  </w:endnote>
  <w:endnote w:type="continuationSeparator" w:id="0">
    <w:p w14:paraId="4A422A9C" w14:textId="77777777" w:rsidR="0028254E" w:rsidRDefault="0028254E" w:rsidP="0071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2D930" w14:textId="77777777" w:rsidR="0028254E" w:rsidRDefault="0028254E" w:rsidP="00710F53">
      <w:pPr>
        <w:spacing w:after="0" w:line="240" w:lineRule="auto"/>
      </w:pPr>
      <w:r>
        <w:separator/>
      </w:r>
    </w:p>
  </w:footnote>
  <w:footnote w:type="continuationSeparator" w:id="0">
    <w:p w14:paraId="040CF49F" w14:textId="77777777" w:rsidR="0028254E" w:rsidRDefault="0028254E" w:rsidP="0071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8511F"/>
    <w:multiLevelType w:val="multilevel"/>
    <w:tmpl w:val="D75ECFFA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41246E"/>
    <w:multiLevelType w:val="multilevel"/>
    <w:tmpl w:val="CCDEF35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42773E"/>
    <w:multiLevelType w:val="hybridMultilevel"/>
    <w:tmpl w:val="B0483758"/>
    <w:lvl w:ilvl="0" w:tplc="52A03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F62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F4E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26B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0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08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61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83A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2E3D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75317"/>
    <w:multiLevelType w:val="hybridMultilevel"/>
    <w:tmpl w:val="12DC09E8"/>
    <w:lvl w:ilvl="0" w:tplc="A15E3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A4001"/>
    <w:multiLevelType w:val="multilevel"/>
    <w:tmpl w:val="34C270A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825B4C"/>
    <w:multiLevelType w:val="multilevel"/>
    <w:tmpl w:val="113A3B2C"/>
    <w:lvl w:ilvl="0">
      <w:start w:val="1"/>
      <w:numFmt w:val="decimal"/>
      <w:lvlText w:val="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887B65"/>
    <w:multiLevelType w:val="hybridMultilevel"/>
    <w:tmpl w:val="2EC6C146"/>
    <w:lvl w:ilvl="0" w:tplc="A15E3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20083"/>
    <w:multiLevelType w:val="multilevel"/>
    <w:tmpl w:val="AD1CA7CC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950B13"/>
    <w:multiLevelType w:val="multilevel"/>
    <w:tmpl w:val="1DA0FE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4172BF"/>
    <w:multiLevelType w:val="hybridMultilevel"/>
    <w:tmpl w:val="79B20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A2979"/>
    <w:multiLevelType w:val="multilevel"/>
    <w:tmpl w:val="663EC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684333"/>
    <w:multiLevelType w:val="hybridMultilevel"/>
    <w:tmpl w:val="726E442C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2" w15:restartNumberingAfterBreak="0">
    <w:nsid w:val="5427278B"/>
    <w:multiLevelType w:val="multilevel"/>
    <w:tmpl w:val="742AE14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FA2949"/>
    <w:multiLevelType w:val="multilevel"/>
    <w:tmpl w:val="8562A782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490182"/>
    <w:multiLevelType w:val="multilevel"/>
    <w:tmpl w:val="0CAA47B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D536BA"/>
    <w:multiLevelType w:val="hybridMultilevel"/>
    <w:tmpl w:val="57ACB5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A91CF9"/>
    <w:multiLevelType w:val="hybridMultilevel"/>
    <w:tmpl w:val="6316D53C"/>
    <w:lvl w:ilvl="0" w:tplc="41585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2AFE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683F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C48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CF3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F29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02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CC8F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78D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AB59DA"/>
    <w:multiLevelType w:val="hybridMultilevel"/>
    <w:tmpl w:val="939075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CE19CA"/>
    <w:multiLevelType w:val="hybridMultilevel"/>
    <w:tmpl w:val="DB70F888"/>
    <w:lvl w:ilvl="0" w:tplc="3F68C654">
      <w:start w:val="1"/>
      <w:numFmt w:val="decimal"/>
      <w:lvlText w:val="%1."/>
      <w:lvlJc w:val="left"/>
      <w:pPr>
        <w:ind w:left="720" w:hanging="360"/>
      </w:pPr>
    </w:lvl>
    <w:lvl w:ilvl="1" w:tplc="3D288140" w:tentative="1">
      <w:start w:val="1"/>
      <w:numFmt w:val="lowerLetter"/>
      <w:lvlText w:val="%2."/>
      <w:lvlJc w:val="left"/>
      <w:pPr>
        <w:ind w:left="1440" w:hanging="360"/>
      </w:pPr>
    </w:lvl>
    <w:lvl w:ilvl="2" w:tplc="0C9C3332" w:tentative="1">
      <w:start w:val="1"/>
      <w:numFmt w:val="lowerRoman"/>
      <w:lvlText w:val="%3."/>
      <w:lvlJc w:val="right"/>
      <w:pPr>
        <w:ind w:left="2160" w:hanging="180"/>
      </w:pPr>
    </w:lvl>
    <w:lvl w:ilvl="3" w:tplc="96FA770C" w:tentative="1">
      <w:start w:val="1"/>
      <w:numFmt w:val="decimal"/>
      <w:lvlText w:val="%4."/>
      <w:lvlJc w:val="left"/>
      <w:pPr>
        <w:ind w:left="2880" w:hanging="360"/>
      </w:pPr>
    </w:lvl>
    <w:lvl w:ilvl="4" w:tplc="8F427A58" w:tentative="1">
      <w:start w:val="1"/>
      <w:numFmt w:val="lowerLetter"/>
      <w:lvlText w:val="%5."/>
      <w:lvlJc w:val="left"/>
      <w:pPr>
        <w:ind w:left="3600" w:hanging="360"/>
      </w:pPr>
    </w:lvl>
    <w:lvl w:ilvl="5" w:tplc="20501FAC" w:tentative="1">
      <w:start w:val="1"/>
      <w:numFmt w:val="lowerRoman"/>
      <w:lvlText w:val="%6."/>
      <w:lvlJc w:val="right"/>
      <w:pPr>
        <w:ind w:left="4320" w:hanging="180"/>
      </w:pPr>
    </w:lvl>
    <w:lvl w:ilvl="6" w:tplc="90FEFEA8" w:tentative="1">
      <w:start w:val="1"/>
      <w:numFmt w:val="decimal"/>
      <w:lvlText w:val="%7."/>
      <w:lvlJc w:val="left"/>
      <w:pPr>
        <w:ind w:left="5040" w:hanging="360"/>
      </w:pPr>
    </w:lvl>
    <w:lvl w:ilvl="7" w:tplc="0A9EC582" w:tentative="1">
      <w:start w:val="1"/>
      <w:numFmt w:val="lowerLetter"/>
      <w:lvlText w:val="%8."/>
      <w:lvlJc w:val="left"/>
      <w:pPr>
        <w:ind w:left="5760" w:hanging="360"/>
      </w:pPr>
    </w:lvl>
    <w:lvl w:ilvl="8" w:tplc="81EC9F1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283445">
    <w:abstractNumId w:val="17"/>
  </w:num>
  <w:num w:numId="2" w16cid:durableId="873233432">
    <w:abstractNumId w:val="15"/>
  </w:num>
  <w:num w:numId="3" w16cid:durableId="1795252090">
    <w:abstractNumId w:val="3"/>
  </w:num>
  <w:num w:numId="4" w16cid:durableId="343243177">
    <w:abstractNumId w:val="6"/>
  </w:num>
  <w:num w:numId="5" w16cid:durableId="1304432217">
    <w:abstractNumId w:val="10"/>
  </w:num>
  <w:num w:numId="6" w16cid:durableId="60643090">
    <w:abstractNumId w:val="14"/>
  </w:num>
  <w:num w:numId="7" w16cid:durableId="1166937654">
    <w:abstractNumId w:val="5"/>
  </w:num>
  <w:num w:numId="8" w16cid:durableId="1499807510">
    <w:abstractNumId w:val="0"/>
  </w:num>
  <w:num w:numId="9" w16cid:durableId="591208879">
    <w:abstractNumId w:val="12"/>
  </w:num>
  <w:num w:numId="10" w16cid:durableId="978732281">
    <w:abstractNumId w:val="8"/>
  </w:num>
  <w:num w:numId="11" w16cid:durableId="2058167266">
    <w:abstractNumId w:val="9"/>
  </w:num>
  <w:num w:numId="12" w16cid:durableId="1038629315">
    <w:abstractNumId w:val="4"/>
  </w:num>
  <w:num w:numId="13" w16cid:durableId="672954607">
    <w:abstractNumId w:val="13"/>
  </w:num>
  <w:num w:numId="14" w16cid:durableId="1681857630">
    <w:abstractNumId w:val="7"/>
  </w:num>
  <w:num w:numId="15" w16cid:durableId="518932893">
    <w:abstractNumId w:val="11"/>
  </w:num>
  <w:num w:numId="16" w16cid:durableId="1476331579">
    <w:abstractNumId w:val="1"/>
  </w:num>
  <w:num w:numId="17" w16cid:durableId="1298026874">
    <w:abstractNumId w:val="18"/>
  </w:num>
  <w:num w:numId="18" w16cid:durableId="936451414">
    <w:abstractNumId w:val="2"/>
  </w:num>
  <w:num w:numId="19" w16cid:durableId="20927013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A1"/>
    <w:rsid w:val="0000757E"/>
    <w:rsid w:val="00025080"/>
    <w:rsid w:val="00035B10"/>
    <w:rsid w:val="00074108"/>
    <w:rsid w:val="000C542B"/>
    <w:rsid w:val="000D07A3"/>
    <w:rsid w:val="000D6282"/>
    <w:rsid w:val="000D716C"/>
    <w:rsid w:val="000F20B4"/>
    <w:rsid w:val="0010232E"/>
    <w:rsid w:val="00105601"/>
    <w:rsid w:val="001212A6"/>
    <w:rsid w:val="00152485"/>
    <w:rsid w:val="00183A9F"/>
    <w:rsid w:val="0018401B"/>
    <w:rsid w:val="001853B4"/>
    <w:rsid w:val="001945F6"/>
    <w:rsid w:val="001B02C4"/>
    <w:rsid w:val="001B0953"/>
    <w:rsid w:val="001C50AB"/>
    <w:rsid w:val="00204422"/>
    <w:rsid w:val="00210960"/>
    <w:rsid w:val="00210AFB"/>
    <w:rsid w:val="0024144A"/>
    <w:rsid w:val="00265737"/>
    <w:rsid w:val="0028254E"/>
    <w:rsid w:val="00283C64"/>
    <w:rsid w:val="0029442B"/>
    <w:rsid w:val="002A175B"/>
    <w:rsid w:val="002B2BDA"/>
    <w:rsid w:val="00301992"/>
    <w:rsid w:val="0031792A"/>
    <w:rsid w:val="00353C44"/>
    <w:rsid w:val="003562F4"/>
    <w:rsid w:val="003576F6"/>
    <w:rsid w:val="0038176D"/>
    <w:rsid w:val="003903DC"/>
    <w:rsid w:val="003A073B"/>
    <w:rsid w:val="003A38DD"/>
    <w:rsid w:val="003A480D"/>
    <w:rsid w:val="003B3DAC"/>
    <w:rsid w:val="003F16AE"/>
    <w:rsid w:val="003F7009"/>
    <w:rsid w:val="00403F47"/>
    <w:rsid w:val="0040659B"/>
    <w:rsid w:val="00423914"/>
    <w:rsid w:val="00440D22"/>
    <w:rsid w:val="00455386"/>
    <w:rsid w:val="00462624"/>
    <w:rsid w:val="00467B59"/>
    <w:rsid w:val="00482837"/>
    <w:rsid w:val="00496F43"/>
    <w:rsid w:val="004A5B5B"/>
    <w:rsid w:val="004C04F3"/>
    <w:rsid w:val="004C4F6D"/>
    <w:rsid w:val="004D7BA4"/>
    <w:rsid w:val="004E4B2F"/>
    <w:rsid w:val="004F1DAF"/>
    <w:rsid w:val="00504A5D"/>
    <w:rsid w:val="00521986"/>
    <w:rsid w:val="00521AE7"/>
    <w:rsid w:val="0052494B"/>
    <w:rsid w:val="00540329"/>
    <w:rsid w:val="00541C09"/>
    <w:rsid w:val="005729B1"/>
    <w:rsid w:val="005A04C5"/>
    <w:rsid w:val="005A6348"/>
    <w:rsid w:val="005C0D98"/>
    <w:rsid w:val="005F5AEB"/>
    <w:rsid w:val="0061351C"/>
    <w:rsid w:val="006179C6"/>
    <w:rsid w:val="006506A9"/>
    <w:rsid w:val="00665D41"/>
    <w:rsid w:val="0067598B"/>
    <w:rsid w:val="00691E0D"/>
    <w:rsid w:val="006A473F"/>
    <w:rsid w:val="006A77F8"/>
    <w:rsid w:val="006C4012"/>
    <w:rsid w:val="006C516E"/>
    <w:rsid w:val="00702982"/>
    <w:rsid w:val="007078F5"/>
    <w:rsid w:val="00707EE3"/>
    <w:rsid w:val="00710F53"/>
    <w:rsid w:val="00753632"/>
    <w:rsid w:val="0077654C"/>
    <w:rsid w:val="00797784"/>
    <w:rsid w:val="007A6578"/>
    <w:rsid w:val="007B01DC"/>
    <w:rsid w:val="007B7E0C"/>
    <w:rsid w:val="008059E9"/>
    <w:rsid w:val="00833DFD"/>
    <w:rsid w:val="0085742A"/>
    <w:rsid w:val="00875D3A"/>
    <w:rsid w:val="008836CE"/>
    <w:rsid w:val="0089117C"/>
    <w:rsid w:val="00895D8B"/>
    <w:rsid w:val="008A5C74"/>
    <w:rsid w:val="008C4BC9"/>
    <w:rsid w:val="008E0838"/>
    <w:rsid w:val="00900B25"/>
    <w:rsid w:val="00926F59"/>
    <w:rsid w:val="0092778D"/>
    <w:rsid w:val="00941F97"/>
    <w:rsid w:val="00944DC3"/>
    <w:rsid w:val="00981A75"/>
    <w:rsid w:val="00995F5E"/>
    <w:rsid w:val="009A395F"/>
    <w:rsid w:val="009D1602"/>
    <w:rsid w:val="009E41E3"/>
    <w:rsid w:val="009F11CD"/>
    <w:rsid w:val="009F4E9B"/>
    <w:rsid w:val="009F61DE"/>
    <w:rsid w:val="00A3394C"/>
    <w:rsid w:val="00A458B9"/>
    <w:rsid w:val="00A47160"/>
    <w:rsid w:val="00AC66F6"/>
    <w:rsid w:val="00B2276E"/>
    <w:rsid w:val="00B40ADB"/>
    <w:rsid w:val="00B85A7B"/>
    <w:rsid w:val="00B85EA6"/>
    <w:rsid w:val="00B92441"/>
    <w:rsid w:val="00B95A1A"/>
    <w:rsid w:val="00BA463E"/>
    <w:rsid w:val="00BA748C"/>
    <w:rsid w:val="00BF191F"/>
    <w:rsid w:val="00C118A1"/>
    <w:rsid w:val="00C37270"/>
    <w:rsid w:val="00CC0952"/>
    <w:rsid w:val="00CC5050"/>
    <w:rsid w:val="00CD37C4"/>
    <w:rsid w:val="00CF7BB0"/>
    <w:rsid w:val="00D4566A"/>
    <w:rsid w:val="00D474B5"/>
    <w:rsid w:val="00D5347B"/>
    <w:rsid w:val="00D55586"/>
    <w:rsid w:val="00D57050"/>
    <w:rsid w:val="00D7274A"/>
    <w:rsid w:val="00D73AF5"/>
    <w:rsid w:val="00D753BE"/>
    <w:rsid w:val="00D94A72"/>
    <w:rsid w:val="00DA727F"/>
    <w:rsid w:val="00DC4A9C"/>
    <w:rsid w:val="00DC75B4"/>
    <w:rsid w:val="00DF632E"/>
    <w:rsid w:val="00E02C54"/>
    <w:rsid w:val="00E02F4B"/>
    <w:rsid w:val="00E161A1"/>
    <w:rsid w:val="00E20111"/>
    <w:rsid w:val="00E33D70"/>
    <w:rsid w:val="00E40C9E"/>
    <w:rsid w:val="00EB2100"/>
    <w:rsid w:val="00EB7A08"/>
    <w:rsid w:val="00EC2133"/>
    <w:rsid w:val="00ED0C95"/>
    <w:rsid w:val="00EE76B1"/>
    <w:rsid w:val="00EF4552"/>
    <w:rsid w:val="00F12A5F"/>
    <w:rsid w:val="00F23A00"/>
    <w:rsid w:val="00F3644A"/>
    <w:rsid w:val="00F65974"/>
    <w:rsid w:val="00FA7BD8"/>
    <w:rsid w:val="00FF22D5"/>
    <w:rsid w:val="00FF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848F"/>
  <w15:chartTrackingRefBased/>
  <w15:docId w15:val="{079E5D0C-EE7E-485D-A669-9CDC58F7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61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61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1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1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1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1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1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1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1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1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1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1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1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1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1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1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1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1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61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1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1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1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61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1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61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1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1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1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61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02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0F53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0F53"/>
    <w:rPr>
      <w:rFonts w:ascii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Z"/>
    <w:basedOn w:val="Domylnaczcionkaakapitu"/>
    <w:uiPriority w:val="99"/>
    <w:semiHidden/>
    <w:unhideWhenUsed/>
    <w:rsid w:val="00710F5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52494B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qFormat/>
    <w:rsid w:val="0052494B"/>
    <w:pPr>
      <w:widowControl w:val="0"/>
      <w:spacing w:after="40" w:line="360" w:lineRule="auto"/>
    </w:pPr>
    <w:rPr>
      <w:rFonts w:ascii="Times New Roman" w:eastAsia="Times New Roman" w:hAnsi="Times New Roman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52494B"/>
  </w:style>
  <w:style w:type="paragraph" w:customStyle="1" w:styleId="USTustnpkodeksu">
    <w:name w:val="UST(§) – ust. (§ np. kodeksu)"/>
    <w:basedOn w:val="Normalny"/>
    <w:uiPriority w:val="12"/>
    <w:qFormat/>
    <w:rsid w:val="008059E9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kern w:val="0"/>
      <w:szCs w:val="20"/>
      <w:lang w:eastAsia="pl-PL"/>
      <w14:ligatures w14:val="none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B40ADB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Nieznański Szymon  (DL)</dc:creator>
  <cp:keywords/>
  <dc:description/>
  <cp:lastModifiedBy>Perczyński Piotr  (DL)</cp:lastModifiedBy>
  <cp:revision>3</cp:revision>
  <dcterms:created xsi:type="dcterms:W3CDTF">2025-05-19T07:49:00Z</dcterms:created>
  <dcterms:modified xsi:type="dcterms:W3CDTF">2025-05-22T09:15:00Z</dcterms:modified>
</cp:coreProperties>
</file>